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457BF6">
      <w:pPr>
        <w:pStyle w:val="2"/>
        <w:jc w:val="center"/>
        <w:rPr>
          <w:rFonts w:hint="default" w:ascii="Times New Roman" w:hAnsi="Times New Roman" w:cs="Times New Roman"/>
          <w:b/>
          <w:bCs/>
          <w:sz w:val="44"/>
          <w:szCs w:val="44"/>
          <w:lang w:val="en-US" w:eastAsia="zh-CN"/>
        </w:rPr>
      </w:pPr>
    </w:p>
    <w:p w14:paraId="200FE0CB">
      <w:pPr>
        <w:pStyle w:val="2"/>
        <w:jc w:val="center"/>
        <w:rPr>
          <w:rFonts w:hint="default" w:ascii="Times New Roman" w:hAnsi="Times New Roman" w:cs="Times New Roman"/>
          <w:b/>
          <w:bCs/>
          <w:sz w:val="44"/>
          <w:szCs w:val="44"/>
          <w:lang w:val="en-US" w:eastAsia="zh-CN"/>
        </w:rPr>
      </w:pPr>
    </w:p>
    <w:p w14:paraId="0C7707F0">
      <w:pPr>
        <w:pStyle w:val="2"/>
        <w:jc w:val="center"/>
        <w:rPr>
          <w:rFonts w:hint="default" w:ascii="Times New Roman" w:hAnsi="Times New Roman" w:cs="Times New Roman"/>
          <w:b/>
          <w:bCs/>
          <w:sz w:val="44"/>
          <w:szCs w:val="44"/>
          <w:lang w:val="en-US" w:eastAsia="zh-CN"/>
        </w:rPr>
      </w:pPr>
    </w:p>
    <w:p w14:paraId="017FBFC4">
      <w:pPr>
        <w:pStyle w:val="2"/>
        <w:jc w:val="center"/>
        <w:rPr>
          <w:rFonts w:hint="default" w:ascii="Times New Roman" w:hAnsi="Times New Roman" w:cs="Times New Roman"/>
          <w:b/>
          <w:bCs/>
          <w:sz w:val="44"/>
          <w:szCs w:val="44"/>
          <w:lang w:val="en-US" w:eastAsia="zh-CN"/>
        </w:rPr>
      </w:pPr>
    </w:p>
    <w:p w14:paraId="4FCB6F44">
      <w:pPr>
        <w:pStyle w:val="2"/>
        <w:jc w:val="center"/>
        <w:rPr>
          <w:rFonts w:hint="default" w:ascii="Times New Roman" w:hAnsi="Times New Roman" w:cs="Times New Roman"/>
          <w:b/>
          <w:bCs/>
          <w:sz w:val="44"/>
          <w:szCs w:val="4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44"/>
          <w:szCs w:val="44"/>
          <w:lang w:val="en-US" w:eastAsia="zh-CN"/>
        </w:rPr>
        <w:t>化学气相沉积法（CVD）制备的铜箔衬底上石墨烯薄膜完整度测试技术规范</w:t>
      </w:r>
    </w:p>
    <w:p w14:paraId="243EF416">
      <w:pPr>
        <w:pStyle w:val="2"/>
        <w:jc w:val="center"/>
        <w:rPr>
          <w:rFonts w:hint="default" w:ascii="Times New Roman" w:hAnsi="Times New Roman" w:cs="Times New Roman"/>
          <w:b/>
          <w:bCs/>
          <w:sz w:val="44"/>
          <w:szCs w:val="44"/>
          <w:lang w:val="en-US" w:eastAsia="zh-CN"/>
        </w:rPr>
      </w:pPr>
      <w:r>
        <w:rPr>
          <w:rFonts w:hint="eastAsia" w:cs="Times New Roman"/>
          <w:b/>
          <w:bCs/>
          <w:sz w:val="44"/>
          <w:szCs w:val="44"/>
          <w:lang w:val="en-US" w:eastAsia="zh-CN"/>
        </w:rPr>
        <w:t>实验</w:t>
      </w:r>
      <w:r>
        <w:rPr>
          <w:rFonts w:hint="default" w:ascii="Times New Roman" w:hAnsi="Times New Roman" w:cs="Times New Roman"/>
          <w:b/>
          <w:bCs/>
          <w:sz w:val="44"/>
          <w:szCs w:val="44"/>
          <w:lang w:val="en-US" w:eastAsia="zh-CN"/>
        </w:rPr>
        <w:t>报告</w:t>
      </w:r>
    </w:p>
    <w:p w14:paraId="687CB662">
      <w:pPr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p w14:paraId="5F73EA6B">
      <w:pPr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p w14:paraId="2CFF7497">
      <w:pPr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p w14:paraId="30299925">
      <w:pPr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p w14:paraId="04174619">
      <w:pPr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p w14:paraId="799CFC83">
      <w:pPr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tbl>
      <w:tblPr>
        <w:tblStyle w:val="3"/>
        <w:tblW w:w="915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7085"/>
      </w:tblGrid>
      <w:tr w14:paraId="3406CD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  <w:jc w:val="center"/>
        </w:trPr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BC07B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主要起草单位：</w:t>
            </w:r>
          </w:p>
        </w:tc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DFAF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singl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>中国计量科学研究院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>、国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>家纳米科学中心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</w:t>
            </w:r>
          </w:p>
        </w:tc>
      </w:tr>
      <w:tr w14:paraId="784938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  <w:jc w:val="center"/>
        </w:trPr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F8427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参与起草单位：</w:t>
            </w:r>
          </w:p>
        </w:tc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AD1B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singl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常州第六元素科技股份有限公司、北京石墨烯研究院    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</w:t>
            </w:r>
          </w:p>
        </w:tc>
      </w:tr>
      <w:tr w14:paraId="774B75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22EFA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主要起草人：</w:t>
            </w:r>
          </w:p>
        </w:tc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00DC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>贾志立 任玲玲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刘忍肖         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 </w:t>
            </w:r>
          </w:p>
        </w:tc>
      </w:tr>
      <w:tr w14:paraId="4317AB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B3D0D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参加起草人：</w:t>
            </w:r>
          </w:p>
        </w:tc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665E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singl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李鑫 张荣花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 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  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</w:t>
            </w:r>
          </w:p>
        </w:tc>
      </w:tr>
    </w:tbl>
    <w:p w14:paraId="7ED8DFE4">
      <w:pPr>
        <w:keepNext w:val="0"/>
        <w:keepLines w:val="0"/>
        <w:widowControl/>
        <w:suppressLineNumbers w:val="0"/>
        <w:ind w:firstLine="1860" w:firstLineChars="600"/>
        <w:jc w:val="both"/>
        <w:rPr>
          <w:rFonts w:hint="eastAsia" w:ascii="宋体" w:hAnsi="宋体" w:cs="宋体"/>
          <w:color w:val="000000"/>
          <w:kern w:val="0"/>
          <w:sz w:val="31"/>
          <w:szCs w:val="31"/>
          <w:u w:val="single"/>
          <w:lang w:val="en-US" w:eastAsia="zh-CN" w:bidi="ar"/>
        </w:rPr>
      </w:pPr>
    </w:p>
    <w:p w14:paraId="38047C08">
      <w:pPr>
        <w:keepNext w:val="0"/>
        <w:keepLines w:val="0"/>
        <w:widowControl/>
        <w:suppressLineNumbers w:val="0"/>
        <w:ind w:firstLine="1860" w:firstLineChars="600"/>
        <w:jc w:val="both"/>
        <w:rPr>
          <w:rFonts w:hint="eastAsia" w:ascii="宋体" w:hAnsi="宋体" w:cs="宋体"/>
          <w:color w:val="000000"/>
          <w:kern w:val="0"/>
          <w:sz w:val="31"/>
          <w:szCs w:val="31"/>
          <w:u w:val="single"/>
          <w:lang w:val="en-US" w:eastAsia="zh-CN" w:bidi="ar"/>
        </w:rPr>
      </w:pPr>
    </w:p>
    <w:p w14:paraId="40D348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1、测量装置</w:t>
      </w:r>
    </w:p>
    <w:p w14:paraId="19B731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测量</w:t>
      </w:r>
      <w:r>
        <w:rPr>
          <w:rFonts w:hint="eastAsia"/>
          <w:sz w:val="24"/>
          <w:szCs w:val="24"/>
          <w:lang w:val="en-US" w:eastAsia="zh-CN"/>
        </w:rPr>
        <w:t>装置</w:t>
      </w:r>
      <w:r>
        <w:rPr>
          <w:rFonts w:hint="eastAsia"/>
          <w:sz w:val="24"/>
          <w:szCs w:val="24"/>
        </w:rPr>
        <w:t>为</w:t>
      </w:r>
      <w:r>
        <w:rPr>
          <w:rFonts w:hint="eastAsia"/>
          <w:sz w:val="24"/>
          <w:szCs w:val="24"/>
          <w:lang w:val="en-US" w:eastAsia="zh-CN"/>
        </w:rPr>
        <w:t>奥林巴斯</w:t>
      </w:r>
      <w:r>
        <w:rPr>
          <w:rFonts w:hint="eastAsia"/>
          <w:sz w:val="24"/>
          <w:szCs w:val="24"/>
        </w:rPr>
        <w:t>公司的</w:t>
      </w:r>
      <w:r>
        <w:rPr>
          <w:rFonts w:hint="eastAsia"/>
          <w:sz w:val="24"/>
          <w:szCs w:val="24"/>
          <w:lang w:val="en-US" w:eastAsia="zh-CN"/>
        </w:rPr>
        <w:t>光学显微镜</w:t>
      </w:r>
      <w:r>
        <w:rPr>
          <w:rFonts w:hint="eastAsia"/>
          <w:sz w:val="24"/>
          <w:szCs w:val="24"/>
        </w:rPr>
        <w:t>，型号为：</w:t>
      </w:r>
      <w:r>
        <w:rPr>
          <w:rFonts w:hint="eastAsia"/>
          <w:sz w:val="24"/>
          <w:szCs w:val="24"/>
          <w:lang w:val="en-US" w:eastAsia="zh-CN"/>
        </w:rPr>
        <w:t>BX51</w:t>
      </w:r>
      <w:r>
        <w:rPr>
          <w:rFonts w:hint="eastAsia"/>
          <w:sz w:val="24"/>
          <w:szCs w:val="24"/>
        </w:rPr>
        <w:t>。</w:t>
      </w:r>
    </w:p>
    <w:p w14:paraId="1D55D3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2、测量标准及其他设备</w:t>
      </w:r>
    </w:p>
    <w:p w14:paraId="413E8DFD">
      <w:pPr>
        <w:widowControl/>
        <w:spacing w:line="360" w:lineRule="auto"/>
        <w:ind w:firstLine="480" w:firstLineChars="200"/>
        <w:jc w:val="left"/>
        <w:rPr>
          <w:sz w:val="24"/>
          <w:highlight w:val="none"/>
        </w:rPr>
      </w:pPr>
      <w:r>
        <w:rPr>
          <w:rFonts w:hint="eastAsia"/>
          <w:sz w:val="24"/>
          <w:highlight w:val="none"/>
          <w:lang w:val="en-US" w:eastAsia="zh-CN"/>
        </w:rPr>
        <w:t>采用的</w:t>
      </w:r>
      <w:r>
        <w:rPr>
          <w:rFonts w:hint="eastAsia"/>
          <w:sz w:val="24"/>
          <w:highlight w:val="none"/>
        </w:rPr>
        <w:t>标准器</w:t>
      </w:r>
      <w:r>
        <w:rPr>
          <w:rFonts w:hint="eastAsia"/>
          <w:sz w:val="24"/>
          <w:highlight w:val="none"/>
          <w:lang w:val="en-US" w:eastAsia="zh-CN"/>
        </w:rPr>
        <w:t>为</w:t>
      </w:r>
      <w:r>
        <w:rPr>
          <w:rStyle w:val="7"/>
          <w:rFonts w:hint="default"/>
          <w:sz w:val="24"/>
          <w:szCs w:val="24"/>
          <w:highlight w:val="none"/>
        </w:rPr>
        <w:t>微米栅格</w:t>
      </w:r>
      <w:r>
        <w:rPr>
          <w:rStyle w:val="7"/>
          <w:sz w:val="24"/>
          <w:szCs w:val="24"/>
          <w:highlight w:val="none"/>
          <w:lang w:eastAsia="zh-CN"/>
        </w:rPr>
        <w:t>，</w:t>
      </w:r>
      <w:r>
        <w:rPr>
          <w:rStyle w:val="7"/>
          <w:rFonts w:hint="eastAsia"/>
          <w:sz w:val="24"/>
          <w:szCs w:val="24"/>
          <w:highlight w:val="none"/>
          <w:lang w:val="en-US" w:eastAsia="zh-CN"/>
        </w:rPr>
        <w:t>技术</w:t>
      </w:r>
      <w:r>
        <w:rPr>
          <w:rFonts w:hint="eastAsia"/>
          <w:sz w:val="24"/>
          <w:highlight w:val="none"/>
        </w:rPr>
        <w:t>特性指标见表</w:t>
      </w:r>
      <w:r>
        <w:rPr>
          <w:rFonts w:hint="eastAsia" w:ascii="宋体" w:hAnsi="宋体" w:cs="宋体"/>
          <w:sz w:val="24"/>
          <w:highlight w:val="none"/>
        </w:rPr>
        <w:t>2</w:t>
      </w:r>
      <w:r>
        <w:rPr>
          <w:rFonts w:hint="eastAsia"/>
          <w:sz w:val="24"/>
          <w:highlight w:val="none"/>
        </w:rPr>
        <w:t>：</w:t>
      </w:r>
    </w:p>
    <w:p w14:paraId="310E46F2">
      <w:pPr>
        <w:spacing w:line="360" w:lineRule="auto"/>
        <w:jc w:val="center"/>
        <w:rPr>
          <w:rFonts w:hint="eastAsia" w:ascii="黑体" w:hAnsi="黑体" w:eastAsia="黑体" w:cs="黑体"/>
          <w:szCs w:val="21"/>
          <w:highlight w:val="none"/>
        </w:rPr>
      </w:pPr>
      <w:r>
        <w:rPr>
          <w:rFonts w:hint="eastAsia" w:ascii="黑体" w:hAnsi="黑体" w:eastAsia="黑体" w:cs="黑体"/>
          <w:szCs w:val="21"/>
          <w:highlight w:val="none"/>
        </w:rPr>
        <w:t>表2 标准器/标准物质一览表</w:t>
      </w:r>
    </w:p>
    <w:tbl>
      <w:tblPr>
        <w:tblStyle w:val="3"/>
        <w:tblW w:w="3807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22"/>
        <w:gridCol w:w="3567"/>
      </w:tblGrid>
      <w:tr w14:paraId="528D5E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2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4A252">
            <w:pPr>
              <w:widowControl/>
              <w:jc w:val="center"/>
              <w:textAlignment w:val="center"/>
              <w:rPr>
                <w:rFonts w:hint="default" w:eastAsia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highlight w:val="none"/>
                <w:lang w:val="en-US" w:eastAsia="zh-CN" w:bidi="ar"/>
              </w:rPr>
              <w:t>名称</w:t>
            </w:r>
          </w:p>
        </w:tc>
        <w:tc>
          <w:tcPr>
            <w:tcW w:w="3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BE737">
            <w:pPr>
              <w:widowControl/>
              <w:jc w:val="center"/>
              <w:textAlignment w:val="center"/>
              <w:rPr>
                <w:rFonts w:eastAsia="等线"/>
                <w:color w:val="000000"/>
                <w:sz w:val="21"/>
                <w:szCs w:val="21"/>
                <w:highlight w:val="none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highlight w:val="none"/>
                <w:lang w:val="en-US" w:eastAsia="zh-CN" w:bidi="ar"/>
              </w:rPr>
              <w:t>技术</w:t>
            </w:r>
            <w:r>
              <w:rPr>
                <w:rStyle w:val="7"/>
                <w:rFonts w:hint="default"/>
                <w:b/>
                <w:bCs/>
                <w:sz w:val="21"/>
                <w:szCs w:val="21"/>
                <w:highlight w:val="none"/>
                <w:lang w:bidi="ar"/>
              </w:rPr>
              <w:t>指标</w:t>
            </w:r>
          </w:p>
        </w:tc>
      </w:tr>
      <w:tr w14:paraId="30AA87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2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CFD1F">
            <w:pPr>
              <w:widowControl/>
              <w:jc w:val="center"/>
              <w:textAlignment w:val="center"/>
              <w:rPr>
                <w:rFonts w:eastAsia="等线"/>
                <w:color w:val="000000"/>
                <w:sz w:val="21"/>
                <w:szCs w:val="21"/>
                <w:highlight w:val="none"/>
              </w:rPr>
            </w:pPr>
            <w:r>
              <w:rPr>
                <w:rStyle w:val="7"/>
                <w:rFonts w:hint="default"/>
                <w:sz w:val="21"/>
                <w:szCs w:val="21"/>
                <w:highlight w:val="none"/>
                <w:lang w:bidi="ar"/>
              </w:rPr>
              <w:t>微米栅格</w:t>
            </w:r>
          </w:p>
        </w:tc>
        <w:tc>
          <w:tcPr>
            <w:tcW w:w="3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AB35B">
            <w:pPr>
              <w:widowControl/>
              <w:jc w:val="center"/>
              <w:textAlignment w:val="center"/>
              <w:rPr>
                <w:rFonts w:eastAsia="等线"/>
                <w:color w:val="000000"/>
                <w:sz w:val="21"/>
                <w:szCs w:val="21"/>
                <w:highlight w:val="none"/>
              </w:rPr>
            </w:pPr>
            <w:r>
              <w:rPr>
                <w:rStyle w:val="7"/>
                <w:rFonts w:hint="eastAsia"/>
                <w:sz w:val="21"/>
                <w:szCs w:val="21"/>
                <w:highlight w:val="none"/>
                <w:lang w:val="en-US" w:eastAsia="zh-CN" w:bidi="ar"/>
              </w:rPr>
              <w:t>扩展不确定度</w:t>
            </w:r>
            <w:r>
              <w:rPr>
                <w:rStyle w:val="8"/>
                <w:rFonts w:eastAsia="等线"/>
                <w:sz w:val="21"/>
                <w:szCs w:val="21"/>
                <w:highlight w:val="none"/>
                <w:lang w:bidi="ar"/>
              </w:rPr>
              <w:t>U</w:t>
            </w:r>
            <w:r>
              <w:rPr>
                <w:rFonts w:hint="eastAsia" w:eastAsia="等线"/>
                <w:color w:val="000000"/>
                <w:kern w:val="0"/>
                <w:sz w:val="21"/>
                <w:szCs w:val="21"/>
                <w:highlight w:val="none"/>
                <w:lang w:bidi="ar"/>
              </w:rPr>
              <w:t>≤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20</w:t>
            </w:r>
            <w:r>
              <w:rPr>
                <w:rFonts w:eastAsia="等线"/>
                <w:color w:val="000000"/>
                <w:kern w:val="0"/>
                <w:sz w:val="21"/>
                <w:szCs w:val="21"/>
                <w:highlight w:val="none"/>
                <w:lang w:bidi="ar"/>
              </w:rPr>
              <w:t xml:space="preserve"> nm </w:t>
            </w:r>
            <w:r>
              <w:rPr>
                <w:rStyle w:val="9"/>
                <w:rFonts w:eastAsia="等线"/>
                <w:sz w:val="21"/>
                <w:szCs w:val="21"/>
                <w:highlight w:val="none"/>
                <w:lang w:bidi="ar"/>
              </w:rPr>
              <w:t>(</w:t>
            </w:r>
            <w:r>
              <w:rPr>
                <w:rStyle w:val="8"/>
                <w:rFonts w:eastAsia="等线"/>
                <w:sz w:val="21"/>
                <w:szCs w:val="21"/>
                <w:highlight w:val="none"/>
                <w:lang w:bidi="ar"/>
              </w:rPr>
              <w:t>k</w:t>
            </w:r>
            <w:r>
              <w:rPr>
                <w:rStyle w:val="9"/>
                <w:rFonts w:eastAsia="等线"/>
                <w:sz w:val="21"/>
                <w:szCs w:val="21"/>
                <w:highlight w:val="none"/>
                <w:lang w:bidi="ar"/>
              </w:rPr>
              <w:t>=2)</w:t>
            </w:r>
          </w:p>
        </w:tc>
      </w:tr>
    </w:tbl>
    <w:p w14:paraId="19897054">
      <w:pPr>
        <w:spacing w:line="360" w:lineRule="auto"/>
        <w:rPr>
          <w:b/>
          <w:bCs/>
          <w:sz w:val="28"/>
          <w:szCs w:val="28"/>
          <w:highlight w:val="none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3、</w:t>
      </w:r>
      <w:r>
        <w:rPr>
          <w:rFonts w:hint="eastAsia"/>
          <w:b/>
          <w:bCs/>
          <w:sz w:val="28"/>
          <w:szCs w:val="28"/>
          <w:highlight w:val="none"/>
        </w:rPr>
        <w:t>样品预处理与制备</w:t>
      </w:r>
    </w:p>
    <w:p w14:paraId="3BBF1239">
      <w:pPr>
        <w:spacing w:line="360" w:lineRule="auto"/>
        <w:outlineLvl w:val="1"/>
        <w:rPr>
          <w:rFonts w:hint="eastAsia" w:ascii="宋体" w:hAnsi="宋体" w:cs="宋体"/>
          <w:sz w:val="24"/>
          <w:highlight w:val="none"/>
          <w:lang w:val="en-US" w:eastAsia="zh-CN"/>
        </w:rPr>
      </w:pPr>
      <w:bookmarkStart w:id="0" w:name="_Toc11343"/>
      <w:r>
        <w:rPr>
          <w:rFonts w:hint="eastAsia" w:ascii="宋体" w:hAnsi="宋体" w:cs="宋体"/>
          <w:sz w:val="24"/>
          <w:highlight w:val="none"/>
          <w:lang w:val="en-US" w:eastAsia="zh-CN"/>
        </w:rPr>
        <w:t>3.1  样品烘烤</w:t>
      </w:r>
      <w:bookmarkEnd w:id="0"/>
    </w:p>
    <w:p w14:paraId="341E3E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宋体"/>
          <w:sz w:val="24"/>
          <w:szCs w:val="24"/>
        </w:rPr>
      </w:pPr>
      <w:r>
        <w:rPr>
          <w:rFonts w:hint="eastAsia" w:ascii="Times New Roman" w:hAnsi="Times New Roman" w:eastAsia="宋体" w:cs="宋体"/>
          <w:sz w:val="24"/>
          <w:szCs w:val="24"/>
        </w:rPr>
        <w:t>使用镊子小心夹取CVD石墨烯铜箔样品，尽量保持样品的完整性，避免损伤石墨烯薄膜</w:t>
      </w:r>
      <w:r>
        <w:rPr>
          <w:rFonts w:hint="eastAsia" w:eastAsia="宋体" w:cs="宋体"/>
          <w:sz w:val="24"/>
          <w:szCs w:val="24"/>
          <w:lang w:eastAsia="zh-CN"/>
        </w:rPr>
        <w:t>。</w:t>
      </w:r>
      <w:r>
        <w:rPr>
          <w:rFonts w:hint="eastAsia" w:eastAsia="宋体" w:cs="宋体"/>
          <w:sz w:val="24"/>
          <w:szCs w:val="24"/>
          <w:lang w:val="en-US" w:eastAsia="zh-CN"/>
        </w:rPr>
        <w:t>并</w:t>
      </w:r>
      <w:r>
        <w:rPr>
          <w:rFonts w:hint="eastAsia" w:ascii="Times New Roman" w:hAnsi="Times New Roman" w:eastAsia="宋体" w:cs="宋体"/>
          <w:sz w:val="24"/>
          <w:szCs w:val="24"/>
        </w:rPr>
        <w:t>记录样品编号信息。</w:t>
      </w:r>
    </w:p>
    <w:p w14:paraId="5D5DFB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Times New Roman" w:hAnsi="Times New Roman" w:eastAsia="宋体" w:cs="宋体"/>
          <w:sz w:val="24"/>
          <w:szCs w:val="24"/>
        </w:rPr>
        <w:t>开启热台，将温度设定为 100℃，等待热台温度稳定至设定值（温度波动在±1℃以内）。用镊子将铜箔样品放置在热台上，确保样品与热台表面充分接触。烘烤时间为 30分钟。</w:t>
      </w:r>
    </w:p>
    <w:p w14:paraId="1344146F">
      <w:pPr>
        <w:spacing w:line="360" w:lineRule="auto"/>
        <w:outlineLvl w:val="1"/>
        <w:rPr>
          <w:rFonts w:hint="default"/>
          <w:sz w:val="24"/>
          <w:highlight w:val="none"/>
          <w:lang w:val="en-US"/>
        </w:rPr>
      </w:pPr>
      <w:bookmarkStart w:id="1" w:name="_Toc19540"/>
      <w:bookmarkStart w:id="2" w:name="_Toc25022"/>
      <w:bookmarkStart w:id="3" w:name="_Toc17147"/>
      <w:bookmarkStart w:id="4" w:name="_Toc24712"/>
      <w:bookmarkStart w:id="5" w:name="_Toc13286"/>
      <w:bookmarkStart w:id="6" w:name="_Toc21785"/>
      <w:r>
        <w:rPr>
          <w:rFonts w:hint="eastAsia" w:ascii="宋体" w:hAnsi="宋体" w:cs="宋体"/>
          <w:sz w:val="24"/>
          <w:highlight w:val="none"/>
          <w:lang w:val="en-US" w:eastAsia="zh-CN"/>
        </w:rPr>
        <w:t>3</w:t>
      </w:r>
      <w:r>
        <w:rPr>
          <w:rFonts w:hint="eastAsia" w:ascii="宋体" w:hAnsi="宋体" w:cs="宋体"/>
          <w:sz w:val="24"/>
          <w:highlight w:val="none"/>
        </w:rPr>
        <w:t>.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sz w:val="24"/>
          <w:highlight w:val="none"/>
        </w:rPr>
        <w:t xml:space="preserve">  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样品</w:t>
      </w:r>
      <w:r>
        <w:rPr>
          <w:rFonts w:hint="eastAsia"/>
          <w:sz w:val="24"/>
          <w:highlight w:val="none"/>
          <w:lang w:val="en-US" w:eastAsia="zh-CN"/>
        </w:rPr>
        <w:t>测试</w:t>
      </w:r>
      <w:bookmarkEnd w:id="1"/>
      <w:bookmarkEnd w:id="2"/>
      <w:bookmarkEnd w:id="3"/>
      <w:bookmarkEnd w:id="4"/>
      <w:bookmarkEnd w:id="5"/>
      <w:r>
        <w:rPr>
          <w:rFonts w:hint="eastAsia"/>
          <w:sz w:val="24"/>
          <w:highlight w:val="none"/>
          <w:lang w:val="en-US" w:eastAsia="zh-CN"/>
        </w:rPr>
        <w:t>区域划分</w:t>
      </w:r>
      <w:bookmarkEnd w:id="6"/>
    </w:p>
    <w:p w14:paraId="4DA247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宋体"/>
          <w:sz w:val="24"/>
          <w:szCs w:val="24"/>
          <w:lang w:val="en-US" w:eastAsia="zh-CN"/>
        </w:rPr>
      </w:pPr>
      <w:r>
        <w:rPr>
          <w:rFonts w:hint="eastAsia" w:cs="宋体"/>
          <w:sz w:val="24"/>
          <w:szCs w:val="24"/>
          <w:lang w:val="en-US" w:eastAsia="zh-CN"/>
        </w:rPr>
        <w:t>对于</w:t>
      </w:r>
      <w:r>
        <w:rPr>
          <w:rFonts w:hint="eastAsia" w:ascii="Times New Roman" w:hAnsi="Times New Roman" w:eastAsia="宋体" w:cs="宋体"/>
          <w:sz w:val="24"/>
          <w:szCs w:val="24"/>
          <w:lang w:val="en-US" w:eastAsia="zh-CN"/>
        </w:rPr>
        <w:t>方形</w:t>
      </w:r>
      <w:r>
        <w:rPr>
          <w:rFonts w:hint="eastAsia" w:ascii="Times New Roman" w:hAnsi="Times New Roman" w:eastAsia="宋体" w:cs="宋体"/>
          <w:sz w:val="24"/>
          <w:szCs w:val="24"/>
        </w:rPr>
        <w:t>铜箔基底上石墨烯薄膜</w:t>
      </w:r>
      <w:r>
        <w:rPr>
          <w:rFonts w:hint="eastAsia" w:cs="宋体"/>
          <w:sz w:val="24"/>
          <w:szCs w:val="24"/>
          <w:lang w:eastAsia="zh-CN"/>
        </w:rPr>
        <w:t>，</w:t>
      </w:r>
      <w:r>
        <w:rPr>
          <w:rFonts w:hint="eastAsia" w:cs="宋体"/>
          <w:sz w:val="24"/>
          <w:szCs w:val="24"/>
          <w:lang w:val="en-US" w:eastAsia="zh-CN"/>
        </w:rPr>
        <w:t>将其</w:t>
      </w:r>
      <w:r>
        <w:rPr>
          <w:rFonts w:hint="eastAsia" w:ascii="Times New Roman" w:hAnsi="Times New Roman" w:eastAsia="宋体" w:cs="宋体"/>
          <w:sz w:val="24"/>
          <w:szCs w:val="24"/>
        </w:rPr>
        <w:t>平均划分成4个区域，取CVD石墨烯铜箔中心1个位置和4个区域的中心4个位置，共计5个位置，测试位置示意图如图1所示</w:t>
      </w:r>
      <w:r>
        <w:rPr>
          <w:rFonts w:hint="eastAsia" w:cs="宋体"/>
          <w:sz w:val="24"/>
          <w:szCs w:val="24"/>
          <w:lang w:eastAsia="zh-CN"/>
        </w:rPr>
        <w:t>。</w:t>
      </w:r>
    </w:p>
    <w:p w14:paraId="7B0E90F4">
      <w:pPr>
        <w:widowControl/>
        <w:numPr>
          <w:ilvl w:val="0"/>
          <w:numId w:val="0"/>
        </w:numPr>
        <w:spacing w:line="360" w:lineRule="auto"/>
        <w:ind w:firstLine="0" w:firstLineChars="0"/>
        <w:jc w:val="center"/>
        <w:rPr>
          <w:highlight w:val="none"/>
        </w:rPr>
      </w:pPr>
      <w:r>
        <w:drawing>
          <wp:inline distT="0" distB="0" distL="114300" distR="114300">
            <wp:extent cx="1247775" cy="1242060"/>
            <wp:effectExtent l="0" t="0" r="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94327B">
      <w:pPr>
        <w:spacing w:line="360" w:lineRule="auto"/>
        <w:jc w:val="center"/>
        <w:rPr>
          <w:rFonts w:hint="eastAsia" w:ascii="黑体" w:hAnsi="黑体" w:eastAsia="黑体" w:cs="黑体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Cs w:val="21"/>
          <w:highlight w:val="none"/>
          <w:lang w:val="en-US" w:eastAsia="zh-CN"/>
        </w:rPr>
        <w:t>图1 测试位置示意图</w:t>
      </w:r>
    </w:p>
    <w:p w14:paraId="557CDDD3">
      <w:pPr>
        <w:spacing w:line="360" w:lineRule="auto"/>
        <w:outlineLvl w:val="1"/>
        <w:rPr>
          <w:rFonts w:hint="default"/>
          <w:sz w:val="24"/>
          <w:highlight w:val="none"/>
          <w:lang w:val="en-US"/>
        </w:rPr>
      </w:pPr>
      <w:bookmarkStart w:id="7" w:name="_Toc13217"/>
      <w:r>
        <w:rPr>
          <w:rFonts w:hint="eastAsia" w:ascii="宋体" w:hAnsi="宋体" w:cs="宋体"/>
          <w:sz w:val="24"/>
          <w:highlight w:val="none"/>
          <w:lang w:val="en-US" w:eastAsia="zh-CN"/>
        </w:rPr>
        <w:t>3</w:t>
      </w:r>
      <w:r>
        <w:rPr>
          <w:rFonts w:hint="eastAsia" w:ascii="宋体" w:hAnsi="宋体" w:cs="宋体"/>
          <w:sz w:val="24"/>
          <w:highlight w:val="none"/>
        </w:rPr>
        <w:t>.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3</w:t>
      </w:r>
      <w:r>
        <w:rPr>
          <w:rFonts w:hint="eastAsia" w:ascii="宋体" w:hAnsi="宋体" w:cs="宋体"/>
          <w:sz w:val="24"/>
          <w:highlight w:val="none"/>
        </w:rPr>
        <w:t xml:space="preserve">  </w:t>
      </w:r>
      <w:r>
        <w:rPr>
          <w:rFonts w:hint="eastAsia"/>
          <w:sz w:val="24"/>
          <w:highlight w:val="none"/>
          <w:lang w:val="en-US" w:eastAsia="zh-CN"/>
        </w:rPr>
        <w:t>样品制备</w:t>
      </w:r>
      <w:bookmarkEnd w:id="7"/>
    </w:p>
    <w:p w14:paraId="6724A3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highlight w:val="none"/>
        </w:rPr>
      </w:pPr>
      <w:r>
        <w:rPr>
          <w:rFonts w:hint="eastAsia"/>
          <w:sz w:val="24"/>
          <w:highlight w:val="none"/>
          <w:lang w:val="en-US" w:eastAsia="zh-CN"/>
        </w:rPr>
        <w:t>准备5片载玻片，在每一片载玻片上粘贴约1 cm×1 cm左右大小的双面胶，按图1所示的各个位点，将载玻片贴有双面胶的一面与铜箔接触并压实，然后剪掉多余的铜箔，保留粘贴到载玻片上的铜箔。</w:t>
      </w:r>
    </w:p>
    <w:p w14:paraId="77493A06">
      <w:pPr>
        <w:spacing w:line="360" w:lineRule="auto"/>
        <w:rPr>
          <w:rFonts w:hint="eastAsia" w:eastAsia="宋体"/>
          <w:b/>
          <w:bCs/>
          <w:sz w:val="28"/>
          <w:szCs w:val="28"/>
          <w:highlight w:val="none"/>
          <w:lang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4</w:t>
      </w:r>
      <w:r>
        <w:rPr>
          <w:rFonts w:hint="eastAsia"/>
          <w:b/>
          <w:bCs/>
          <w:sz w:val="28"/>
          <w:szCs w:val="28"/>
          <w:highlight w:val="none"/>
          <w:lang w:eastAsia="zh-CN"/>
        </w:rPr>
        <w:t>、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测试方法</w:t>
      </w:r>
    </w:p>
    <w:p w14:paraId="51FB73B1">
      <w:pPr>
        <w:spacing w:line="360" w:lineRule="auto"/>
        <w:outlineLvl w:val="1"/>
        <w:rPr>
          <w:rFonts w:hint="default" w:ascii="宋体" w:hAnsi="宋体" w:cs="宋体"/>
          <w:sz w:val="24"/>
          <w:highlight w:val="none"/>
          <w:lang w:val="en-US" w:eastAsia="zh-CN"/>
        </w:rPr>
      </w:pPr>
      <w:bookmarkStart w:id="8" w:name="_Toc19657"/>
      <w:r>
        <w:rPr>
          <w:rFonts w:hint="eastAsia" w:ascii="宋体" w:hAnsi="宋体" w:cs="宋体"/>
          <w:sz w:val="24"/>
          <w:highlight w:val="none"/>
          <w:lang w:val="en-US" w:eastAsia="zh-CN"/>
        </w:rPr>
        <w:t>4.1  光学显微镜校准</w:t>
      </w:r>
      <w:bookmarkEnd w:id="8"/>
    </w:p>
    <w:p w14:paraId="2EC43E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开启光学显微镜，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以微米栅格作为标准器对光学显微镜的尺寸进行校准，测量10个栅格周期，计算每个栅格周期的像素数，根据栅格周期的标准值计算每个像素对应的尺寸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。</w:t>
      </w:r>
    </w:p>
    <w:p w14:paraId="76E072E2">
      <w:pPr>
        <w:spacing w:line="360" w:lineRule="auto"/>
        <w:outlineLvl w:val="1"/>
        <w:rPr>
          <w:rFonts w:hint="default" w:eastAsia="宋体"/>
          <w:sz w:val="24"/>
          <w:highlight w:val="none"/>
          <w:lang w:val="en-US" w:eastAsia="zh-CN"/>
        </w:rPr>
      </w:pPr>
      <w:bookmarkStart w:id="9" w:name="_Toc30547"/>
      <w:r>
        <w:rPr>
          <w:rFonts w:hint="eastAsia" w:ascii="宋体" w:hAnsi="宋体" w:cs="宋体"/>
          <w:sz w:val="24"/>
          <w:highlight w:val="none"/>
          <w:lang w:val="en-US" w:eastAsia="zh-CN"/>
        </w:rPr>
        <w:t>4</w:t>
      </w:r>
      <w:r>
        <w:rPr>
          <w:rFonts w:hint="eastAsia" w:ascii="宋体" w:hAnsi="宋体" w:cs="宋体"/>
          <w:sz w:val="24"/>
          <w:highlight w:val="none"/>
        </w:rPr>
        <w:t>.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sz w:val="24"/>
          <w:highlight w:val="none"/>
        </w:rPr>
        <w:t xml:space="preserve"> </w:t>
      </w:r>
      <w:bookmarkStart w:id="10" w:name="_Toc10818"/>
      <w:r>
        <w:rPr>
          <w:rFonts w:hint="eastAsia" w:ascii="宋体" w:hAnsi="宋体" w:cs="宋体"/>
          <w:sz w:val="24"/>
          <w:highlight w:val="none"/>
        </w:rPr>
        <w:t xml:space="preserve"> </w:t>
      </w:r>
      <w:bookmarkEnd w:id="10"/>
      <w:r>
        <w:rPr>
          <w:rFonts w:hint="eastAsia" w:ascii="宋体" w:hAnsi="宋体" w:cs="宋体"/>
          <w:sz w:val="24"/>
          <w:highlight w:val="none"/>
          <w:lang w:val="en-US" w:eastAsia="zh-CN"/>
        </w:rPr>
        <w:t>测试步骤</w:t>
      </w:r>
      <w:bookmarkEnd w:id="9"/>
    </w:p>
    <w:p w14:paraId="7A3619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a）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将</w:t>
      </w:r>
      <w:r>
        <w:rPr>
          <w:rFonts w:hint="eastAsia" w:eastAsia="宋体" w:cs="宋体"/>
          <w:sz w:val="24"/>
          <w:szCs w:val="24"/>
          <w:highlight w:val="none"/>
          <w:lang w:val="en-US" w:eastAsia="zh-CN"/>
        </w:rPr>
        <w:t>粘贴有铜箔的载玻片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放置在光学显微镜的载物台上。</w:t>
      </w:r>
      <w:r>
        <w:rPr>
          <w:rFonts w:hint="eastAsia" w:eastAsia="宋体" w:cs="宋体"/>
          <w:sz w:val="24"/>
          <w:szCs w:val="24"/>
          <w:highlight w:val="none"/>
          <w:lang w:val="en-US" w:eastAsia="zh-CN"/>
        </w:rPr>
        <w:t>采用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  <w:lang w:val="en-US" w:eastAsia="zh-CN"/>
        </w:rPr>
        <w:t>5</w:t>
      </w:r>
      <w:r>
        <w:rPr>
          <w:rFonts w:hint="eastAsia"/>
          <w:sz w:val="24"/>
          <w:highlight w:val="none"/>
          <w:lang w:val="en-US" w:eastAsia="zh-CN"/>
        </w:rPr>
        <w:t>×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物镜，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>调节光源亮度，并进行聚焦，在低倍物镜下观察样品，选取代表性的区域，并进行成像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，记录照片信息，包括样品编号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>和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拍摄区域等。</w:t>
      </w:r>
    </w:p>
    <w:p w14:paraId="29DE39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b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）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对于每一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>片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样品，在选定的代表性区域基础上，切换到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>高倍物镜，如果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  <w:lang w:val="en-US" w:eastAsia="zh-CN"/>
        </w:rPr>
        <w:t>20</w:t>
      </w:r>
      <w:r>
        <w:rPr>
          <w:rFonts w:hint="eastAsia"/>
          <w:sz w:val="24"/>
          <w:highlight w:val="none"/>
          <w:lang w:val="en-US" w:eastAsia="zh-CN"/>
        </w:rPr>
        <w:t>×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  <w:lang w:val="en-US" w:eastAsia="zh-CN"/>
        </w:rPr>
        <w:t>物镜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>不能满足要求（如破损区域较小，20</w:t>
      </w:r>
      <w:r>
        <w:rPr>
          <w:rFonts w:hint="eastAsia"/>
          <w:sz w:val="24"/>
          <w:highlight w:val="none"/>
          <w:lang w:val="en-US" w:eastAsia="zh-CN"/>
        </w:rPr>
        <w:t>×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  <w:lang w:val="en-US" w:eastAsia="zh-CN"/>
        </w:rPr>
        <w:t>物镜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>下不能获得较清晰的边缘等），需要采用100</w:t>
      </w:r>
      <w:r>
        <w:rPr>
          <w:rFonts w:hint="eastAsia"/>
          <w:sz w:val="24"/>
          <w:highlight w:val="none"/>
          <w:lang w:val="en-US" w:eastAsia="zh-CN"/>
        </w:rPr>
        <w:t>×物镜</w:t>
      </w:r>
      <w:r>
        <w:rPr>
          <w:rFonts w:hint="eastAsia" w:cs="宋体"/>
          <w:sz w:val="24"/>
          <w:szCs w:val="24"/>
          <w:highlight w:val="none"/>
          <w:lang w:eastAsia="zh-CN"/>
        </w:rPr>
        <w:t>。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>对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RGB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>单通道进行调节，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使高倍率图像能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>清晰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反映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>石墨烯薄膜破损信息</w:t>
      </w:r>
      <w:r>
        <w:rPr>
          <w:rFonts w:hint="eastAsia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拍摄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张清晰的照片。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>在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拍摄过程中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>需要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记录好照片对应的样品编号（即之前划分的区域编号）和拍摄顺序。</w:t>
      </w:r>
    </w:p>
    <w:p w14:paraId="640092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c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）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重复上述步骤，完成所有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>5片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样品的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>高倍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照片拍摄工作，共获得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张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>图片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。</w:t>
      </w:r>
    </w:p>
    <w:p w14:paraId="06D8701C">
      <w:pPr>
        <w:spacing w:line="360" w:lineRule="auto"/>
        <w:rPr>
          <w:rFonts w:hint="eastAsia" w:ascii="宋体" w:hAnsi="宋体" w:cs="宋体"/>
          <w:sz w:val="24"/>
          <w:highlight w:val="non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5</w:t>
      </w:r>
      <w:r>
        <w:rPr>
          <w:rFonts w:hint="eastAsia"/>
          <w:b/>
          <w:bCs/>
          <w:sz w:val="28"/>
          <w:szCs w:val="28"/>
          <w:highlight w:val="none"/>
          <w:lang w:eastAsia="zh-CN"/>
        </w:rPr>
        <w:t>、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数据处理</w:t>
      </w:r>
    </w:p>
    <w:p w14:paraId="5E17E3F0">
      <w:pPr>
        <w:rPr>
          <w:rFonts w:hint="default" w:eastAsia="宋体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5</w:t>
      </w:r>
      <w:r>
        <w:rPr>
          <w:rFonts w:hint="eastAsia" w:ascii="宋体" w:hAnsi="宋体" w:cs="宋体"/>
          <w:sz w:val="24"/>
          <w:highlight w:val="none"/>
        </w:rPr>
        <w:t>.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sz w:val="24"/>
          <w:highlight w:val="none"/>
        </w:rPr>
        <w:t xml:space="preserve">  </w:t>
      </w:r>
      <w:r>
        <w:rPr>
          <w:rFonts w:hint="eastAsia"/>
          <w:sz w:val="24"/>
          <w:highlight w:val="none"/>
          <w:lang w:val="en-US" w:eastAsia="zh-CN"/>
        </w:rPr>
        <w:t>图像处理</w:t>
      </w:r>
    </w:p>
    <w:p w14:paraId="077D33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a）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打开图像分析软件（如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>Photoshop或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ImageJ），依次导入采集到的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张高倍显微镜图像。</w:t>
      </w:r>
    </w:p>
    <w:p w14:paraId="22D53E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b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）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如果有必要，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在软件中对每张图像进行预处理，包括调整对比度、亮度等，以增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>石墨烯薄膜覆盖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区域和未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>覆盖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区域的对比度。</w:t>
      </w:r>
    </w:p>
    <w:p w14:paraId="498DD3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c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）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使用软件的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>魔棒工具进行选区，或是使用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阈值分割功能，将每张图像中的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>石墨烯薄膜覆盖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区域和未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>覆盖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区域进行区分</w:t>
      </w:r>
      <w:r>
        <w:rPr>
          <w:rFonts w:hint="eastAsia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确保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>石墨烯薄膜覆盖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区域和未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>覆盖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区域能够准确区分。</w:t>
      </w:r>
    </w:p>
    <w:p w14:paraId="48AECF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cs="宋体"/>
          <w:sz w:val="24"/>
          <w:szCs w:val="24"/>
          <w:highlight w:val="none"/>
          <w:vertAlign w:val="baseli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d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）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测量每张图像中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>未覆盖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区域的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>像素数</w:t>
      </w:r>
      <w:r>
        <w:rPr>
          <w:rFonts w:hint="eastAsia" w:cs="宋体"/>
          <w:i/>
          <w:iCs/>
          <w:sz w:val="24"/>
          <w:szCs w:val="24"/>
          <w:highlight w:val="none"/>
          <w:lang w:val="en-US" w:eastAsia="zh-CN"/>
        </w:rPr>
        <w:t>P</w:t>
      </w:r>
      <w:r>
        <w:rPr>
          <w:rFonts w:hint="eastAsia" w:cs="宋体"/>
          <w:sz w:val="24"/>
          <w:szCs w:val="24"/>
          <w:highlight w:val="none"/>
          <w:vertAlign w:val="subscript"/>
          <w:lang w:val="en-US" w:eastAsia="zh-CN"/>
        </w:rPr>
        <w:t>n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>，整张图片的像素数</w:t>
      </w:r>
      <w:r>
        <w:rPr>
          <w:rFonts w:hint="eastAsia" w:cs="宋体"/>
          <w:i/>
          <w:iCs/>
          <w:sz w:val="24"/>
          <w:szCs w:val="24"/>
          <w:highlight w:val="none"/>
          <w:lang w:val="en-US" w:eastAsia="zh-CN"/>
        </w:rPr>
        <w:t>P</w:t>
      </w:r>
      <w:r>
        <w:rPr>
          <w:rFonts w:hint="eastAsia" w:cs="宋体"/>
          <w:sz w:val="24"/>
          <w:szCs w:val="24"/>
          <w:highlight w:val="none"/>
          <w:vertAlign w:val="subscript"/>
          <w:lang w:val="en-US" w:eastAsia="zh-CN"/>
        </w:rPr>
        <w:t>t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，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>计算</w:t>
      </w:r>
      <w:r>
        <w:rPr>
          <w:rFonts w:hint="eastAsia" w:ascii="Times New Roman" w:hAnsi="Times New Roman" w:eastAsia="宋体" w:cs="宋体"/>
          <w:sz w:val="24"/>
          <w:szCs w:val="24"/>
          <w:highlight w:val="none"/>
        </w:rPr>
        <w:t>被石墨烯薄膜覆盖的区域的像素数</w:t>
      </w:r>
      <w:r>
        <w:rPr>
          <w:rFonts w:hint="eastAsia" w:cs="宋体"/>
          <w:i/>
          <w:iCs/>
          <w:sz w:val="24"/>
          <w:szCs w:val="24"/>
          <w:highlight w:val="none"/>
          <w:lang w:val="en-US" w:eastAsia="zh-CN"/>
        </w:rPr>
        <w:t>P</w:t>
      </w:r>
      <w:r>
        <w:rPr>
          <w:rFonts w:hint="eastAsia" w:cs="宋体"/>
          <w:sz w:val="24"/>
          <w:szCs w:val="24"/>
          <w:highlight w:val="none"/>
          <w:vertAlign w:val="subscript"/>
          <w:lang w:val="en-US" w:eastAsia="zh-CN"/>
        </w:rPr>
        <w:t>c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>=</w:t>
      </w:r>
      <w:r>
        <w:rPr>
          <w:rFonts w:hint="eastAsia" w:cs="宋体"/>
          <w:i/>
          <w:iCs/>
          <w:sz w:val="24"/>
          <w:szCs w:val="24"/>
          <w:highlight w:val="none"/>
          <w:lang w:val="en-US" w:eastAsia="zh-CN"/>
        </w:rPr>
        <w:t>P</w:t>
      </w:r>
      <w:r>
        <w:rPr>
          <w:rFonts w:hint="eastAsia" w:cs="宋体"/>
          <w:sz w:val="24"/>
          <w:szCs w:val="24"/>
          <w:highlight w:val="none"/>
          <w:vertAlign w:val="subscript"/>
          <w:lang w:val="en-US" w:eastAsia="zh-CN"/>
        </w:rPr>
        <w:t>t</w:t>
      </w:r>
      <w:r>
        <w:rPr>
          <w:rFonts w:hint="eastAsia" w:cs="宋体"/>
          <w:sz w:val="24"/>
          <w:szCs w:val="24"/>
          <w:highlight w:val="none"/>
          <w:vertAlign w:val="baseline"/>
          <w:lang w:val="en-US" w:eastAsia="zh-CN"/>
        </w:rPr>
        <w:t>-</w:t>
      </w:r>
      <w:r>
        <w:rPr>
          <w:rFonts w:hint="eastAsia" w:cs="宋体"/>
          <w:i/>
          <w:iCs/>
          <w:sz w:val="24"/>
          <w:szCs w:val="24"/>
          <w:highlight w:val="none"/>
          <w:lang w:val="en-US" w:eastAsia="zh-CN"/>
        </w:rPr>
        <w:t>P</w:t>
      </w:r>
      <w:r>
        <w:rPr>
          <w:rFonts w:hint="eastAsia" w:cs="宋体"/>
          <w:sz w:val="24"/>
          <w:szCs w:val="24"/>
          <w:highlight w:val="none"/>
          <w:vertAlign w:val="subscript"/>
          <w:lang w:val="en-US" w:eastAsia="zh-CN"/>
        </w:rPr>
        <w:t>n</w:t>
      </w:r>
      <w:r>
        <w:rPr>
          <w:rFonts w:hint="eastAsia" w:cs="宋体"/>
          <w:sz w:val="24"/>
          <w:szCs w:val="24"/>
          <w:highlight w:val="none"/>
          <w:vertAlign w:val="baseline"/>
          <w:lang w:val="en-US" w:eastAsia="zh-CN"/>
        </w:rPr>
        <w:t>。</w:t>
      </w:r>
    </w:p>
    <w:p w14:paraId="5C7CC5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cs="宋体"/>
          <w:sz w:val="24"/>
          <w:szCs w:val="24"/>
          <w:highlight w:val="none"/>
          <w:vertAlign w:val="baseline"/>
          <w:lang w:val="en-US" w:eastAsia="zh-CN"/>
        </w:rPr>
      </w:pPr>
      <w:r>
        <w:rPr>
          <w:rFonts w:hint="eastAsia" w:cs="宋体"/>
          <w:sz w:val="24"/>
          <w:szCs w:val="24"/>
          <w:highlight w:val="none"/>
          <w:vertAlign w:val="baseline"/>
          <w:lang w:val="en-US" w:eastAsia="zh-CN"/>
        </w:rPr>
        <w:drawing>
          <wp:inline distT="0" distB="0" distL="114300" distR="114300">
            <wp:extent cx="3350260" cy="2252345"/>
            <wp:effectExtent l="0" t="0" r="2540" b="5080"/>
            <wp:docPr id="2" name="图片 2" descr="1-1-100x-选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-1-100x-选区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50260" cy="2252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C492E8">
      <w:pPr>
        <w:spacing w:line="360" w:lineRule="auto"/>
        <w:jc w:val="center"/>
        <w:rPr>
          <w:rFonts w:hint="eastAsia" w:cs="宋体"/>
          <w:sz w:val="24"/>
          <w:szCs w:val="24"/>
          <w:highlight w:val="none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szCs w:val="21"/>
          <w:highlight w:val="none"/>
          <w:lang w:val="en-US" w:eastAsia="zh-CN"/>
        </w:rPr>
        <w:t>图2 未覆盖区域的选区（绿色曲线画出的区域）</w:t>
      </w:r>
    </w:p>
    <w:p w14:paraId="56F0EFEB">
      <w:pPr>
        <w:rPr>
          <w:rFonts w:hint="eastAsia" w:ascii="宋体" w:hAnsi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5.2  完整度计算</w:t>
      </w:r>
    </w:p>
    <w:p w14:paraId="604DC404">
      <w:pPr>
        <w:spacing w:line="360" w:lineRule="auto"/>
        <w:ind w:firstLine="480" w:firstLineChars="200"/>
        <w:rPr>
          <w:rFonts w:hint="eastAsia"/>
          <w:sz w:val="24"/>
          <w:highlight w:val="none"/>
        </w:rPr>
      </w:pPr>
      <w:r>
        <w:rPr>
          <w:rFonts w:hint="eastAsia"/>
          <w:sz w:val="24"/>
          <w:highlight w:val="none"/>
        </w:rPr>
        <w:t>对于100×照片，计算覆盖区域面积占整个观察区域面积的比例，记为完整度。计算公式为：</w:t>
      </w:r>
    </w:p>
    <w:p w14:paraId="23123090">
      <w:pPr>
        <w:autoSpaceDE w:val="0"/>
        <w:autoSpaceDN w:val="0"/>
        <w:adjustRightInd w:val="0"/>
        <w:spacing w:line="360" w:lineRule="auto"/>
        <w:jc w:val="right"/>
        <w:rPr>
          <w:rFonts w:hint="eastAsia"/>
          <w:sz w:val="24"/>
          <w:highlight w:val="none"/>
          <w:vertAlign w:val="subscript"/>
        </w:rPr>
      </w:pPr>
      <m:oMath>
        <m:r>
          <m:rPr/>
          <w:rPr>
            <w:rFonts w:hint="default" w:ascii="Cambria Math" w:hAnsi="Cambria Math"/>
            <w:sz w:val="24"/>
            <w:highlight w:val="none"/>
            <w:lang w:val="en-US" w:eastAsia="zh-CN"/>
          </w:rPr>
          <m:t>I</m:t>
        </m:r>
        <m:r>
          <m:rPr>
            <m:sty m:val="p"/>
          </m:rPr>
          <w:rPr>
            <w:rFonts w:hint="default" w:ascii="Cambria Math" w:hAnsi="Cambria Math"/>
            <w:sz w:val="24"/>
            <w:highlight w:val="none"/>
          </w:rPr>
          <m:t>=</m:t>
        </m:r>
        <m:f>
          <m:fPr>
            <m:ctrlPr>
              <w:rPr>
                <w:rFonts w:hint="default" w:ascii="Cambria Math" w:hAnsi="Cambria Math"/>
                <w:sz w:val="24"/>
                <w:highlight w:val="none"/>
              </w:rPr>
            </m:ctrlPr>
          </m:fPr>
          <m:num>
            <m:sSub>
              <m:sSubPr>
                <m:ctrlPr>
                  <w:rPr>
                    <w:rFonts w:hint="default" w:ascii="Cambria Math" w:hAnsi="Cambria Math"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Cambria Math" w:hAnsi="Cambria Math"/>
                    <w:sz w:val="24"/>
                    <w:highlight w:val="none"/>
                    <w:lang w:val="en-US" w:eastAsia="zh-CN"/>
                  </w:rPr>
                  <m:t>P</m:t>
                </m:r>
                <m:ctrlPr>
                  <w:rPr>
                    <w:rFonts w:hint="default" w:ascii="Cambria Math" w:hAnsi="Cambria Math"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/>
                    <w:sz w:val="24"/>
                    <w:highlight w:val="none"/>
                    <w:lang w:val="en-US" w:eastAsia="zh-CN"/>
                  </w:rPr>
                  <m:t>c</m:t>
                </m:r>
                <m:ctrlPr>
                  <w:rPr>
                    <w:rFonts w:hint="default" w:ascii="Cambria Math" w:hAnsi="Cambria Math"/>
                    <w:sz w:val="24"/>
                    <w:highlight w:val="none"/>
                  </w:rPr>
                </m:ctrlPr>
              </m:sub>
            </m:sSub>
            <m:ctrlPr>
              <w:rPr>
                <w:rFonts w:hint="default" w:ascii="Cambria Math" w:hAnsi="Cambria Math"/>
                <w:sz w:val="24"/>
                <w:highlight w:val="none"/>
              </w:rPr>
            </m:ctrlPr>
          </m:num>
          <m:den>
            <m:sSub>
              <m:sSubPr>
                <m:ctrlPr>
                  <w:rPr>
                    <w:rFonts w:hint="default" w:ascii="Cambria Math" w:hAnsi="Cambria Math"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Cambria Math" w:hAnsi="Cambria Math"/>
                    <w:sz w:val="24"/>
                    <w:highlight w:val="none"/>
                    <w:lang w:val="en-US" w:eastAsia="zh-CN"/>
                  </w:rPr>
                  <m:t>P</m:t>
                </m:r>
                <m:ctrlPr>
                  <w:rPr>
                    <w:rFonts w:hint="default" w:ascii="Cambria Math" w:hAnsi="Cambria Math"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/>
                    <w:sz w:val="24"/>
                    <w:highlight w:val="none"/>
                    <w:lang w:val="en-US" w:eastAsia="zh-CN"/>
                  </w:rPr>
                  <m:t>t</m:t>
                </m:r>
                <m:ctrlPr>
                  <w:rPr>
                    <w:rFonts w:hint="default" w:ascii="Cambria Math" w:hAnsi="Cambria Math"/>
                    <w:sz w:val="24"/>
                    <w:highlight w:val="none"/>
                  </w:rPr>
                </m:ctrlPr>
              </m:sub>
            </m:sSub>
            <m:ctrlPr>
              <w:rPr>
                <w:rFonts w:hint="default" w:ascii="Cambria Math" w:hAnsi="Cambria Math"/>
                <w:sz w:val="24"/>
                <w:highlight w:val="none"/>
              </w:rPr>
            </m:ctrlPr>
          </m:den>
        </m:f>
        <m:r>
          <m:rPr>
            <m:sty m:val="p"/>
          </m:rPr>
          <w:rPr>
            <w:rFonts w:hint="eastAsia" w:ascii="Cambria Math" w:hAnsi="Cambria Math"/>
            <w:sz w:val="24"/>
            <w:highlight w:val="none"/>
            <w:lang w:val="en-US" w:eastAsia="zh-CN"/>
          </w:rPr>
          <m:t>×</m:t>
        </m:r>
        <m:r>
          <m:rPr>
            <m:sty m:val="p"/>
          </m:rPr>
          <w:rPr>
            <w:rFonts w:hint="default" w:ascii="Cambria Math" w:hAnsi="Cambria Math"/>
            <w:sz w:val="24"/>
            <w:highlight w:val="none"/>
            <w:lang w:val="en-US" w:eastAsia="zh-CN"/>
          </w:rPr>
          <m:t>100%</m:t>
        </m:r>
      </m:oMath>
      <w:r>
        <w:rPr>
          <w:rFonts w:hint="eastAsia"/>
          <w:sz w:val="24"/>
          <w:highlight w:val="none"/>
          <w:vertAlign w:val="subscript"/>
        </w:rPr>
        <w:t xml:space="preserve">       </w:t>
      </w:r>
      <w:r>
        <w:rPr>
          <w:rFonts w:hint="eastAsia"/>
          <w:sz w:val="24"/>
          <w:highlight w:val="none"/>
          <w:vertAlign w:val="subscript"/>
          <w:lang w:val="en-US" w:eastAsia="zh-CN"/>
        </w:rPr>
        <w:t xml:space="preserve">  </w:t>
      </w:r>
      <w:r>
        <w:rPr>
          <w:rFonts w:hint="eastAsia"/>
          <w:sz w:val="24"/>
          <w:highlight w:val="none"/>
          <w:vertAlign w:val="subscript"/>
        </w:rPr>
        <w:t xml:space="preserve">       </w:t>
      </w:r>
      <w:r>
        <w:rPr>
          <w:rFonts w:hint="eastAsia"/>
          <w:sz w:val="24"/>
          <w:highlight w:val="none"/>
          <w:vertAlign w:val="subscript"/>
          <w:lang w:val="en-US" w:eastAsia="zh-CN"/>
        </w:rPr>
        <w:t xml:space="preserve">       </w:t>
      </w:r>
      <w:r>
        <w:rPr>
          <w:rFonts w:hint="eastAsia"/>
          <w:sz w:val="24"/>
          <w:highlight w:val="none"/>
          <w:vertAlign w:val="subscript"/>
        </w:rPr>
        <w:t xml:space="preserve">        </w:t>
      </w:r>
      <w:r>
        <w:rPr>
          <w:rFonts w:hint="eastAsia"/>
          <w:sz w:val="24"/>
          <w:highlight w:val="none"/>
          <w:vertAlign w:val="subscript"/>
          <w:lang w:val="en-US" w:eastAsia="zh-CN"/>
        </w:rPr>
        <w:t xml:space="preserve">     </w:t>
      </w:r>
      <w:r>
        <w:rPr>
          <w:rFonts w:hint="eastAsia"/>
          <w:sz w:val="24"/>
          <w:highlight w:val="none"/>
          <w:vertAlign w:val="subscript"/>
        </w:rPr>
        <w:t xml:space="preserve">          </w:t>
      </w:r>
      <w:r>
        <w:rPr>
          <w:rFonts w:hint="eastAsia" w:ascii="宋体" w:hAnsi="宋体" w:cs="宋体"/>
          <w:sz w:val="24"/>
          <w:highlight w:val="none"/>
        </w:rPr>
        <w:t>（</w:t>
      </w:r>
      <w:r>
        <w:rPr>
          <w:rFonts w:hint="eastAsia"/>
          <w:iCs/>
          <w:sz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sz w:val="24"/>
          <w:highlight w:val="none"/>
        </w:rPr>
        <w:t>）</w:t>
      </w:r>
      <w:r>
        <w:rPr>
          <w:rFonts w:hint="eastAsia"/>
          <w:sz w:val="24"/>
          <w:highlight w:val="none"/>
          <w:vertAlign w:val="subscript"/>
        </w:rPr>
        <w:t xml:space="preserve">  </w:t>
      </w:r>
    </w:p>
    <w:p w14:paraId="245F4722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式中：</w:t>
      </w:r>
    </w:p>
    <w:p w14:paraId="3EFB9CB8">
      <w:pPr>
        <w:autoSpaceDE w:val="0"/>
        <w:autoSpaceDN w:val="0"/>
        <w:adjustRightInd w:val="0"/>
        <w:spacing w:line="360" w:lineRule="auto"/>
        <w:ind w:firstLine="480" w:firstLineChars="200"/>
        <w:rPr>
          <w:iCs/>
          <w:sz w:val="24"/>
          <w:highlight w:val="none"/>
        </w:rPr>
      </w:pPr>
      <m:oMath>
        <m:r>
          <m:rPr/>
          <w:rPr>
            <w:rFonts w:hint="default" w:ascii="Cambria Math" w:hAnsi="Cambria Math"/>
            <w:sz w:val="24"/>
            <w:highlight w:val="none"/>
            <w:lang w:val="en-US" w:eastAsia="zh-CN"/>
          </w:rPr>
          <m:t>I</m:t>
        </m:r>
      </m:oMath>
      <w:r>
        <w:rPr>
          <w:iCs/>
          <w:sz w:val="24"/>
          <w:highlight w:val="none"/>
        </w:rPr>
        <w:t>——</w:t>
      </w:r>
      <w:r>
        <w:rPr>
          <w:rFonts w:hint="eastAsia"/>
          <w:iCs/>
          <w:sz w:val="24"/>
          <w:highlight w:val="none"/>
          <w:lang w:val="en-US" w:eastAsia="zh-CN"/>
        </w:rPr>
        <w:t>完整度</w:t>
      </w:r>
      <w:r>
        <w:rPr>
          <w:rFonts w:hint="eastAsia"/>
          <w:iCs/>
          <w:sz w:val="24"/>
          <w:highlight w:val="none"/>
          <w:lang w:eastAsia="zh-CN"/>
        </w:rPr>
        <w:t>，</w:t>
      </w:r>
      <w:r>
        <w:rPr>
          <w:rFonts w:hint="eastAsia"/>
          <w:sz w:val="24"/>
          <w:highlight w:val="none"/>
          <w:lang w:val="en-US" w:eastAsia="zh-CN"/>
        </w:rPr>
        <w:t>%</w:t>
      </w:r>
      <w:r>
        <w:rPr>
          <w:iCs/>
          <w:sz w:val="24"/>
          <w:highlight w:val="none"/>
        </w:rPr>
        <w:t>；</w:t>
      </w:r>
    </w:p>
    <w:p w14:paraId="542ED124">
      <w:pPr>
        <w:autoSpaceDE w:val="0"/>
        <w:autoSpaceDN w:val="0"/>
        <w:adjustRightInd w:val="0"/>
        <w:spacing w:line="360" w:lineRule="auto"/>
        <w:ind w:firstLine="480" w:firstLineChars="200"/>
        <w:rPr>
          <w:iCs/>
          <w:sz w:val="24"/>
          <w:highlight w:val="none"/>
        </w:rPr>
      </w:pPr>
      <w:r>
        <w:rPr>
          <w:rFonts w:hint="eastAsia"/>
          <w:i/>
          <w:iCs w:val="0"/>
          <w:sz w:val="24"/>
          <w:highlight w:val="none"/>
          <w:lang w:val="en-US" w:eastAsia="zh-CN"/>
        </w:rPr>
        <w:t>P</w:t>
      </w:r>
      <w:r>
        <w:rPr>
          <w:rFonts w:hint="eastAsia"/>
          <w:iCs/>
          <w:sz w:val="24"/>
          <w:highlight w:val="none"/>
          <w:vertAlign w:val="subscript"/>
          <w:lang w:val="en-US" w:eastAsia="zh-CN"/>
        </w:rPr>
        <w:t>c</w:t>
      </w:r>
      <w:r>
        <w:rPr>
          <w:iCs/>
          <w:sz w:val="24"/>
          <w:highlight w:val="none"/>
        </w:rPr>
        <w:t>——</w:t>
      </w:r>
      <w:r>
        <w:rPr>
          <w:rFonts w:hint="eastAsia"/>
          <w:iCs/>
          <w:sz w:val="24"/>
          <w:highlight w:val="none"/>
          <w:lang w:val="en-US" w:eastAsia="zh-CN"/>
        </w:rPr>
        <w:t>光学显微镜照片中，</w:t>
      </w:r>
      <w:r>
        <w:rPr>
          <w:rFonts w:hint="eastAsia"/>
          <w:sz w:val="24"/>
          <w:highlight w:val="none"/>
          <w:lang w:val="en-US" w:eastAsia="zh-CN"/>
        </w:rPr>
        <w:t>被石墨烯薄膜覆盖的区域的像素数</w:t>
      </w:r>
      <w:r>
        <w:rPr>
          <w:iCs/>
          <w:sz w:val="24"/>
          <w:highlight w:val="none"/>
        </w:rPr>
        <w:t>；</w:t>
      </w:r>
    </w:p>
    <w:p w14:paraId="4BD78C69">
      <w:pPr>
        <w:autoSpaceDE w:val="0"/>
        <w:autoSpaceDN w:val="0"/>
        <w:adjustRightInd w:val="0"/>
        <w:spacing w:line="360" w:lineRule="auto"/>
        <w:ind w:firstLine="480" w:firstLineChars="200"/>
        <w:rPr>
          <w:iCs/>
          <w:sz w:val="24"/>
          <w:highlight w:val="none"/>
        </w:rPr>
      </w:pPr>
      <w:r>
        <w:rPr>
          <w:rFonts w:hint="eastAsia"/>
          <w:i/>
          <w:iCs w:val="0"/>
          <w:sz w:val="24"/>
          <w:highlight w:val="none"/>
          <w:lang w:val="en-US" w:eastAsia="zh-CN"/>
        </w:rPr>
        <w:t>P</w:t>
      </w:r>
      <w:r>
        <w:rPr>
          <w:rFonts w:hint="eastAsia"/>
          <w:iCs/>
          <w:sz w:val="24"/>
          <w:highlight w:val="none"/>
          <w:vertAlign w:val="subscript"/>
          <w:lang w:val="en-US" w:eastAsia="zh-CN"/>
        </w:rPr>
        <w:t>t</w:t>
      </w:r>
      <w:r>
        <w:rPr>
          <w:iCs/>
          <w:sz w:val="24"/>
          <w:highlight w:val="none"/>
        </w:rPr>
        <w:t>——</w:t>
      </w:r>
      <w:r>
        <w:rPr>
          <w:rFonts w:hint="eastAsia"/>
          <w:iCs/>
          <w:sz w:val="24"/>
          <w:highlight w:val="none"/>
          <w:lang w:val="en-US" w:eastAsia="zh-CN"/>
        </w:rPr>
        <w:t>光学显微镜照片中，</w:t>
      </w:r>
      <w:r>
        <w:rPr>
          <w:rFonts w:hint="eastAsia"/>
          <w:sz w:val="24"/>
          <w:highlight w:val="none"/>
          <w:lang w:val="en-US" w:eastAsia="zh-CN"/>
        </w:rPr>
        <w:t>整个区域的像素数</w:t>
      </w:r>
      <w:r>
        <w:rPr>
          <w:iCs/>
          <w:sz w:val="24"/>
          <w:highlight w:val="none"/>
        </w:rPr>
        <w:t>；</w:t>
      </w:r>
    </w:p>
    <w:p w14:paraId="2A0092CB">
      <w:pPr>
        <w:autoSpaceDE w:val="0"/>
        <w:autoSpaceDN w:val="0"/>
        <w:adjustRightInd w:val="0"/>
        <w:spacing w:line="360" w:lineRule="auto"/>
        <w:ind w:firstLine="480" w:firstLineChars="200"/>
        <w:rPr>
          <w:rFonts w:hint="default" w:eastAsia="宋体"/>
          <w:lang w:val="en-US" w:eastAsia="zh-CN"/>
        </w:rPr>
      </w:pPr>
      <w:r>
        <w:rPr>
          <w:rFonts w:hint="eastAsia"/>
          <w:iCs/>
          <w:sz w:val="24"/>
          <w:highlight w:val="none"/>
          <w:lang w:val="en-US" w:eastAsia="zh-CN"/>
        </w:rPr>
        <w:t>图2中的</w:t>
      </w:r>
      <w:r>
        <w:rPr>
          <w:rFonts w:hint="eastAsia"/>
          <w:i/>
          <w:iCs w:val="0"/>
          <w:sz w:val="24"/>
          <w:highlight w:val="none"/>
          <w:lang w:val="en-US" w:eastAsia="zh-CN"/>
        </w:rPr>
        <w:t>P</w:t>
      </w:r>
      <w:r>
        <w:rPr>
          <w:rFonts w:hint="eastAsia"/>
          <w:iCs/>
          <w:sz w:val="24"/>
          <w:highlight w:val="none"/>
          <w:vertAlign w:val="subscript"/>
          <w:lang w:val="en-US" w:eastAsia="zh-CN"/>
        </w:rPr>
        <w:t>c</w:t>
      </w:r>
      <w:r>
        <w:rPr>
          <w:rFonts w:hint="eastAsia"/>
          <w:iCs/>
          <w:sz w:val="24"/>
          <w:highlight w:val="none"/>
          <w:vertAlign w:val="baseline"/>
          <w:lang w:val="en-US" w:eastAsia="zh-CN"/>
        </w:rPr>
        <w:t>=6399157，</w:t>
      </w:r>
      <w:r>
        <w:rPr>
          <w:rFonts w:hint="eastAsia"/>
          <w:i/>
          <w:iCs w:val="0"/>
          <w:sz w:val="24"/>
          <w:highlight w:val="none"/>
          <w:lang w:val="en-US" w:eastAsia="zh-CN"/>
        </w:rPr>
        <w:t>P</w:t>
      </w:r>
      <w:r>
        <w:rPr>
          <w:rFonts w:hint="eastAsia"/>
          <w:iCs/>
          <w:sz w:val="24"/>
          <w:highlight w:val="none"/>
          <w:vertAlign w:val="subscript"/>
          <w:lang w:val="en-US" w:eastAsia="zh-CN"/>
        </w:rPr>
        <w:t>t</w:t>
      </w:r>
      <w:r>
        <w:rPr>
          <w:rFonts w:hint="eastAsia"/>
          <w:iCs/>
          <w:sz w:val="24"/>
          <w:highlight w:val="none"/>
          <w:vertAlign w:val="baseline"/>
          <w:lang w:val="en-US" w:eastAsia="zh-CN"/>
        </w:rPr>
        <w:t>=6410688，</w:t>
      </w:r>
      <m:oMath>
        <m:r>
          <m:rPr/>
          <w:rPr>
            <w:rFonts w:hint="default" w:ascii="Cambria Math" w:hAnsi="Cambria Math"/>
            <w:sz w:val="24"/>
            <w:highlight w:val="none"/>
            <w:lang w:val="en-US" w:eastAsia="zh-CN"/>
          </w:rPr>
          <m:t>I</m:t>
        </m:r>
      </m:oMath>
      <w:r>
        <m:rPr/>
        <w:rPr>
          <w:rFonts w:hint="eastAsia" w:hAnsi="Cambria Math"/>
          <w:i w:val="0"/>
          <w:sz w:val="24"/>
          <w:highlight w:val="none"/>
          <w:lang w:val="en-US" w:eastAsia="zh-CN"/>
        </w:rPr>
        <w:t>=99.8%。其他4</w:t>
      </w:r>
      <w:r>
        <w:rPr>
          <w:rFonts w:hint="eastAsia" w:ascii="Times New Roman" w:hAnsi="Times New Roman" w:eastAsia="宋体" w:cs="宋体"/>
          <w:sz w:val="24"/>
          <w:szCs w:val="24"/>
        </w:rPr>
        <w:t>张高倍照片的石墨烯薄膜</w:t>
      </w:r>
      <w:r>
        <w:rPr>
          <w:rFonts w:hint="eastAsia" w:cs="宋体"/>
          <w:sz w:val="24"/>
          <w:szCs w:val="24"/>
          <w:lang w:val="en-US" w:eastAsia="zh-CN"/>
        </w:rPr>
        <w:t>完整度</w:t>
      </w:r>
      <w:r>
        <w:rPr>
          <w:rFonts w:hint="eastAsia" w:ascii="Times New Roman" w:hAnsi="Times New Roman" w:eastAsia="宋体" w:cs="宋体"/>
          <w:sz w:val="24"/>
          <w:szCs w:val="24"/>
        </w:rPr>
        <w:t>数据记录下来</w:t>
      </w:r>
      <w:r>
        <w:rPr>
          <w:rFonts w:hint="eastAsia" w:eastAsia="宋体" w:cs="宋体"/>
          <w:sz w:val="24"/>
          <w:szCs w:val="24"/>
          <w:lang w:eastAsia="zh-CN"/>
        </w:rPr>
        <w:t>，</w:t>
      </w:r>
      <w:r>
        <w:rPr>
          <w:rFonts w:hint="eastAsia" w:eastAsia="宋体" w:cs="宋体"/>
          <w:sz w:val="24"/>
          <w:szCs w:val="24"/>
          <w:lang w:val="en-US" w:eastAsia="zh-CN"/>
        </w:rPr>
        <w:t>计算</w:t>
      </w:r>
      <w:r>
        <w:rPr>
          <w:rFonts w:hint="eastAsia" w:cs="宋体"/>
          <w:sz w:val="24"/>
          <w:szCs w:val="24"/>
          <w:lang w:val="en-US" w:eastAsia="zh-CN"/>
        </w:rPr>
        <w:t>完整度</w:t>
      </w:r>
      <w:r>
        <w:rPr>
          <w:rFonts w:hint="eastAsia" w:cs="宋体"/>
          <w:sz w:val="24"/>
          <w:szCs w:val="24"/>
          <w:lang w:eastAsia="zh-CN"/>
        </w:rPr>
        <w:t>的</w:t>
      </w:r>
      <w:r>
        <w:rPr>
          <w:rFonts w:hint="eastAsia" w:cs="宋体"/>
          <w:sz w:val="24"/>
          <w:szCs w:val="24"/>
          <w:lang w:val="en-US" w:eastAsia="zh-CN"/>
        </w:rPr>
        <w:t>平均值作为完整度。</w:t>
      </w:r>
      <w:bookmarkStart w:id="11" w:name="_GoBack"/>
      <w:bookmarkEnd w:id="11"/>
    </w:p>
    <w:p w14:paraId="0A1D3328">
      <w:pPr>
        <w:spacing w:line="360" w:lineRule="auto"/>
        <w:ind w:firstLine="480" w:firstLineChars="200"/>
        <w:rPr>
          <w:rFonts w:hint="default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完整度</w:t>
      </w:r>
      <w:r>
        <w:rPr>
          <w:rFonts w:hint="eastAsia"/>
          <w:sz w:val="24"/>
          <w:highlight w:val="none"/>
        </w:rPr>
        <w:t>测量</w:t>
      </w:r>
      <w:r>
        <w:rPr>
          <w:rFonts w:hint="eastAsia"/>
          <w:sz w:val="24"/>
          <w:highlight w:val="none"/>
          <w:lang w:val="en-US" w:eastAsia="zh-CN"/>
        </w:rPr>
        <w:t>结果及不确定度</w:t>
      </w:r>
    </w:p>
    <w:tbl>
      <w:tblPr>
        <w:tblStyle w:val="3"/>
        <w:tblW w:w="4189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948"/>
        <w:gridCol w:w="949"/>
        <w:gridCol w:w="949"/>
        <w:gridCol w:w="975"/>
        <w:gridCol w:w="1080"/>
        <w:gridCol w:w="1291"/>
      </w:tblGrid>
      <w:tr w14:paraId="2DEF0E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344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A4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sz w:val="21"/>
                <w:szCs w:val="21"/>
                <w:highlight w:val="none"/>
              </w:rPr>
              <w:t>测量值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/%</w:t>
            </w:r>
          </w:p>
        </w:tc>
        <w:tc>
          <w:tcPr>
            <w:tcW w:w="7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FA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平均值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/%</w:t>
            </w:r>
          </w:p>
        </w:tc>
        <w:tc>
          <w:tcPr>
            <w:tcW w:w="8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9E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标准偏差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/%</w:t>
            </w:r>
          </w:p>
        </w:tc>
      </w:tr>
      <w:tr w14:paraId="09FC1B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03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16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DE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C1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8C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A54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EDE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0FCFC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E19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99.8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2D6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99.8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6E9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99.1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2F6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99.4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8E4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99.7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3E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99.6</w:t>
            </w:r>
          </w:p>
        </w:tc>
        <w:tc>
          <w:tcPr>
            <w:tcW w:w="8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F0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0.3</w:t>
            </w:r>
          </w:p>
        </w:tc>
      </w:tr>
    </w:tbl>
    <w:p w14:paraId="5512058D">
      <w:pPr>
        <w:rPr>
          <w:rFonts w:hint="eastAsia"/>
          <w:sz w:val="24"/>
          <w:highlight w:val="none"/>
          <w:lang w:val="en-US" w:eastAsia="zh-CN"/>
        </w:rPr>
      </w:pPr>
    </w:p>
    <w:p w14:paraId="611FB7B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jMDA3MmIyYjljYTEyZDI5ZjBmZjFkZGFhODdiMjYifQ=="/>
  </w:docVars>
  <w:rsids>
    <w:rsidRoot w:val="00000000"/>
    <w:rsid w:val="025263E9"/>
    <w:rsid w:val="03080CA4"/>
    <w:rsid w:val="034A5312"/>
    <w:rsid w:val="03647119"/>
    <w:rsid w:val="04B97124"/>
    <w:rsid w:val="05E33382"/>
    <w:rsid w:val="06F51A39"/>
    <w:rsid w:val="0749370E"/>
    <w:rsid w:val="081465F3"/>
    <w:rsid w:val="087415D0"/>
    <w:rsid w:val="095505E7"/>
    <w:rsid w:val="0A6D7B38"/>
    <w:rsid w:val="0B4526F0"/>
    <w:rsid w:val="0B846A84"/>
    <w:rsid w:val="0BFC5C4D"/>
    <w:rsid w:val="0C7D1AA5"/>
    <w:rsid w:val="0C931AD8"/>
    <w:rsid w:val="0CA217EA"/>
    <w:rsid w:val="0EC817E1"/>
    <w:rsid w:val="10512C80"/>
    <w:rsid w:val="123B265F"/>
    <w:rsid w:val="13E74B01"/>
    <w:rsid w:val="14452516"/>
    <w:rsid w:val="14515858"/>
    <w:rsid w:val="16EE619E"/>
    <w:rsid w:val="18B06F86"/>
    <w:rsid w:val="1A6B3F22"/>
    <w:rsid w:val="1C5F6A82"/>
    <w:rsid w:val="1D336D8F"/>
    <w:rsid w:val="1E914B90"/>
    <w:rsid w:val="22605AA2"/>
    <w:rsid w:val="250E7771"/>
    <w:rsid w:val="26303337"/>
    <w:rsid w:val="27840543"/>
    <w:rsid w:val="280E605F"/>
    <w:rsid w:val="2877638E"/>
    <w:rsid w:val="28812CD5"/>
    <w:rsid w:val="28BE630C"/>
    <w:rsid w:val="29266412"/>
    <w:rsid w:val="2A6F5B10"/>
    <w:rsid w:val="2AD119D3"/>
    <w:rsid w:val="2B0005C1"/>
    <w:rsid w:val="2CD63C1A"/>
    <w:rsid w:val="2F062B6D"/>
    <w:rsid w:val="2F9D601C"/>
    <w:rsid w:val="3135633B"/>
    <w:rsid w:val="32552617"/>
    <w:rsid w:val="34FD245B"/>
    <w:rsid w:val="36413739"/>
    <w:rsid w:val="384004B6"/>
    <w:rsid w:val="38F44DFD"/>
    <w:rsid w:val="395A0580"/>
    <w:rsid w:val="3AA50B99"/>
    <w:rsid w:val="3B1A7757"/>
    <w:rsid w:val="3BB80364"/>
    <w:rsid w:val="3C0F436B"/>
    <w:rsid w:val="3C2228BC"/>
    <w:rsid w:val="3C9962E1"/>
    <w:rsid w:val="3D5D6152"/>
    <w:rsid w:val="3EC551B7"/>
    <w:rsid w:val="3FCE4C2F"/>
    <w:rsid w:val="40AD635E"/>
    <w:rsid w:val="40D37DDA"/>
    <w:rsid w:val="426A343A"/>
    <w:rsid w:val="43896016"/>
    <w:rsid w:val="47947ED7"/>
    <w:rsid w:val="47FD28CD"/>
    <w:rsid w:val="481B23A6"/>
    <w:rsid w:val="493A78FE"/>
    <w:rsid w:val="495A5150"/>
    <w:rsid w:val="4D7D140D"/>
    <w:rsid w:val="4D883876"/>
    <w:rsid w:val="50974404"/>
    <w:rsid w:val="50F8401E"/>
    <w:rsid w:val="52042732"/>
    <w:rsid w:val="53100598"/>
    <w:rsid w:val="53990C22"/>
    <w:rsid w:val="5A184997"/>
    <w:rsid w:val="5B324BCF"/>
    <w:rsid w:val="5B7A56FF"/>
    <w:rsid w:val="5D5800B9"/>
    <w:rsid w:val="5E015B3F"/>
    <w:rsid w:val="5E1F3DB1"/>
    <w:rsid w:val="5E2F405E"/>
    <w:rsid w:val="5E455888"/>
    <w:rsid w:val="5EC01CFA"/>
    <w:rsid w:val="60481596"/>
    <w:rsid w:val="6090362F"/>
    <w:rsid w:val="61382AF5"/>
    <w:rsid w:val="61F07FA8"/>
    <w:rsid w:val="62166767"/>
    <w:rsid w:val="64566A0F"/>
    <w:rsid w:val="64B10575"/>
    <w:rsid w:val="65E87914"/>
    <w:rsid w:val="66456B14"/>
    <w:rsid w:val="67340937"/>
    <w:rsid w:val="686B53AD"/>
    <w:rsid w:val="6A1F1FCE"/>
    <w:rsid w:val="6BBD539F"/>
    <w:rsid w:val="6C8D35F8"/>
    <w:rsid w:val="6D3C5A1C"/>
    <w:rsid w:val="6F0B5C80"/>
    <w:rsid w:val="721A47FB"/>
    <w:rsid w:val="73AA26AC"/>
    <w:rsid w:val="73FB6A64"/>
    <w:rsid w:val="74AA542F"/>
    <w:rsid w:val="759E3B4B"/>
    <w:rsid w:val="761E6A3A"/>
    <w:rsid w:val="76982C90"/>
    <w:rsid w:val="778F195E"/>
    <w:rsid w:val="79D12015"/>
    <w:rsid w:val="7AC07E9C"/>
    <w:rsid w:val="7B5436C8"/>
    <w:rsid w:val="7B957DF2"/>
    <w:rsid w:val="7BEB5B0A"/>
    <w:rsid w:val="7CBE34ED"/>
    <w:rsid w:val="7EAD18D8"/>
    <w:rsid w:val="7EC54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after="120" w:line="360" w:lineRule="auto"/>
      <w:outlineLvl w:val="0"/>
    </w:pPr>
    <w:rPr>
      <w:rFonts w:eastAsia="黑体"/>
      <w:b/>
      <w:kern w:val="44"/>
      <w:sz w:val="24"/>
      <w:szCs w:val="20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autoRedefine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6">
    <w:name w:val="font01"/>
    <w:basedOn w:val="4"/>
    <w:autoRedefine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7">
    <w:name w:val="font31"/>
    <w:basedOn w:val="4"/>
    <w:autoRedefine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8">
    <w:name w:val="font61"/>
    <w:basedOn w:val="4"/>
    <w:autoRedefine/>
    <w:qFormat/>
    <w:uiPriority w:val="0"/>
    <w:rPr>
      <w:rFonts w:hint="default" w:ascii="Times New Roman" w:hAnsi="Times New Roman" w:cs="Times New Roman"/>
      <w:i/>
      <w:iCs/>
      <w:color w:val="000000"/>
      <w:sz w:val="22"/>
      <w:szCs w:val="22"/>
      <w:u w:val="none"/>
    </w:rPr>
  </w:style>
  <w:style w:type="character" w:customStyle="1" w:styleId="9">
    <w:name w:val="font41"/>
    <w:basedOn w:val="4"/>
    <w:autoRedefine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0">
    <w:name w:val="font51"/>
    <w:basedOn w:val="4"/>
    <w:autoRedefine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  <w:vertAlign w:val="subscript"/>
    </w:rPr>
  </w:style>
  <w:style w:type="character" w:customStyle="1" w:styleId="11">
    <w:name w:val="font21"/>
    <w:basedOn w:val="4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2">
    <w:name w:val="font71"/>
    <w:basedOn w:val="4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3">
    <w:name w:val="font81"/>
    <w:basedOn w:val="4"/>
    <w:qFormat/>
    <w:uiPriority w:val="0"/>
    <w:rPr>
      <w:rFonts w:hint="default" w:ascii="Times New Roman" w:hAnsi="Times New Roman" w:cs="Times New Roman"/>
      <w:i/>
      <w:iCs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1402</Words>
  <Characters>2799</Characters>
  <Lines>0</Lines>
  <Paragraphs>0</Paragraphs>
  <TotalTime>1</TotalTime>
  <ScaleCrop>false</ScaleCrop>
  <LinksUpToDate>false</LinksUpToDate>
  <CharactersWithSpaces>3329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2022-11-06T15:29:00Z</dcterms:created>
  <dc:creator>jzl</dc:creator>
  <cp:lastModifiedBy>jiazl</cp:lastModifiedBy>
  <dcterms:modified xsi:type="dcterms:W3CDTF">2025-09-07T14:48:39Z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B40BBA61717346508B733E590A912A6C</vt:lpwstr>
  </property>
  <property fmtid="{D5CDD505-2E9C-101B-9397-08002B2CF9AE}" pid="4" name="KSOTemplateDocerSaveRecord">
    <vt:lpwstr>eyJoZGlkIjoiMzEwNTM5NzYwMDRjMzkwZTVkZjY2ODkwMGIxNGU0OTUiLCJ1c2VySWQiOiIzNTAyMjQ0MDMifQ==</vt:lpwstr>
  </property>
</Properties>
</file>